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AB" w:rsidRDefault="009217AB">
      <w:pPr>
        <w:pStyle w:val="Corpodetexto"/>
        <w:rPr>
          <w:sz w:val="20"/>
        </w:rPr>
      </w:pPr>
    </w:p>
    <w:p w:rsidR="009217AB" w:rsidRDefault="009217AB">
      <w:pPr>
        <w:pStyle w:val="Corpodetexto"/>
        <w:spacing w:before="1"/>
        <w:rPr>
          <w:sz w:val="23"/>
        </w:rPr>
      </w:pPr>
    </w:p>
    <w:p w:rsidR="009217AB" w:rsidRDefault="005C576A">
      <w:pPr>
        <w:pStyle w:val="Ttulo1"/>
        <w:ind w:left="266"/>
        <w:rPr>
          <w:u w:val="none"/>
        </w:rPr>
      </w:pPr>
      <w:r>
        <w:rPr>
          <w:b w:val="0"/>
          <w:spacing w:val="-58"/>
          <w:u w:val="thick"/>
        </w:rPr>
        <w:t xml:space="preserve"> </w:t>
      </w:r>
      <w:r>
        <w:rPr>
          <w:u w:val="thick"/>
        </w:rPr>
        <w:t>ANEXO I</w:t>
      </w:r>
    </w:p>
    <w:p w:rsidR="009217AB" w:rsidRDefault="009217AB">
      <w:pPr>
        <w:pStyle w:val="Corpodetexto"/>
        <w:rPr>
          <w:b/>
          <w:sz w:val="20"/>
        </w:rPr>
      </w:pPr>
    </w:p>
    <w:p w:rsidR="009217AB" w:rsidRPr="005C576A" w:rsidRDefault="005C576A" w:rsidP="005C576A">
      <w:pPr>
        <w:pStyle w:val="Default"/>
        <w:ind w:left="284"/>
        <w:rPr>
          <w:u w:val="single"/>
        </w:rPr>
      </w:pPr>
      <w:r>
        <w:rPr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232410</wp:posOffset>
                </wp:positionV>
                <wp:extent cx="80645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0.95pt;margin-top:18.3pt;width:6.35pt;height:.9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DicwIAAPg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spacing w:val="-58"/>
          <w:u w:val="thick"/>
        </w:rPr>
        <w:t xml:space="preserve"> </w:t>
      </w:r>
      <w:r>
        <w:rPr>
          <w:b/>
          <w:u w:val="thick"/>
        </w:rPr>
        <w:t>PEDIDO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 xml:space="preserve">ORÇAMENTO - </w:t>
      </w:r>
      <w:r w:rsidRPr="005C576A">
        <w:rPr>
          <w:b/>
          <w:bCs/>
          <w:sz w:val="23"/>
          <w:szCs w:val="23"/>
          <w:u w:val="single"/>
        </w:rPr>
        <w:t>PNEUS PARA VEÍCULOS MODELOS FORD KA E NISSAN</w:t>
      </w:r>
    </w:p>
    <w:p w:rsidR="009217AB" w:rsidRDefault="009217AB">
      <w:pPr>
        <w:pStyle w:val="Corpodetexto"/>
        <w:rPr>
          <w:b/>
          <w:sz w:val="20"/>
        </w:rPr>
      </w:pPr>
    </w:p>
    <w:p w:rsidR="009217AB" w:rsidRDefault="009217AB">
      <w:pPr>
        <w:pStyle w:val="Corpodetexto"/>
        <w:spacing w:before="9"/>
        <w:rPr>
          <w:b/>
          <w:sz w:val="19"/>
        </w:rPr>
      </w:pPr>
    </w:p>
    <w:p w:rsidR="009217AB" w:rsidRDefault="005C576A">
      <w:pPr>
        <w:pStyle w:val="Corpodetexto"/>
        <w:spacing w:before="90"/>
        <w:ind w:left="304"/>
      </w:pPr>
      <w:r>
        <w:t>Cliente: Secretaria de estado de polícia militar</w:t>
      </w:r>
    </w:p>
    <w:p w:rsidR="009217AB" w:rsidRDefault="005C576A">
      <w:pPr>
        <w:pStyle w:val="Corpodetexto"/>
        <w:tabs>
          <w:tab w:val="left" w:pos="6412"/>
          <w:tab w:val="left" w:pos="8058"/>
        </w:tabs>
        <w:spacing w:before="137"/>
        <w:ind w:left="304"/>
      </w:pPr>
      <w:r>
        <w:t>Endereço de entrega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17AB" w:rsidRDefault="009217AB">
      <w:pPr>
        <w:pStyle w:val="Corpodetexto"/>
        <w:spacing w:before="4" w:after="1"/>
        <w:rPr>
          <w:sz w:val="12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670"/>
        <w:gridCol w:w="850"/>
        <w:gridCol w:w="1419"/>
        <w:gridCol w:w="1419"/>
        <w:gridCol w:w="1133"/>
      </w:tblGrid>
      <w:tr w:rsidR="009217AB">
        <w:trPr>
          <w:trHeight w:val="1000"/>
        </w:trPr>
        <w:tc>
          <w:tcPr>
            <w:tcW w:w="598" w:type="dxa"/>
            <w:shd w:val="clear" w:color="auto" w:fill="DADADA"/>
          </w:tcPr>
          <w:p w:rsidR="009217AB" w:rsidRDefault="009217AB">
            <w:pPr>
              <w:pStyle w:val="TableParagraph"/>
              <w:spacing w:before="6"/>
              <w:rPr>
                <w:sz w:val="31"/>
              </w:rPr>
            </w:pPr>
          </w:p>
          <w:p w:rsidR="009217AB" w:rsidRDefault="005C576A">
            <w:pPr>
              <w:pStyle w:val="TableParagraph"/>
              <w:ind w:left="47" w:righ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3670" w:type="dxa"/>
            <w:shd w:val="clear" w:color="auto" w:fill="DADADA"/>
          </w:tcPr>
          <w:p w:rsidR="009217AB" w:rsidRDefault="009217AB">
            <w:pPr>
              <w:pStyle w:val="TableParagraph"/>
              <w:spacing w:before="6"/>
              <w:rPr>
                <w:sz w:val="31"/>
              </w:rPr>
            </w:pPr>
          </w:p>
          <w:p w:rsidR="009217AB" w:rsidRDefault="005C576A">
            <w:pPr>
              <w:pStyle w:val="TableParagraph"/>
              <w:ind w:left="120" w:right="10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850" w:type="dxa"/>
            <w:shd w:val="clear" w:color="auto" w:fill="DADADA"/>
          </w:tcPr>
          <w:p w:rsidR="009217AB" w:rsidRDefault="009217AB">
            <w:pPr>
              <w:pStyle w:val="TableParagraph"/>
              <w:spacing w:before="6"/>
              <w:rPr>
                <w:sz w:val="31"/>
              </w:rPr>
            </w:pPr>
          </w:p>
          <w:p w:rsidR="009217AB" w:rsidRDefault="005C576A">
            <w:pPr>
              <w:pStyle w:val="TableParagraph"/>
              <w:ind w:left="63" w:right="5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MARCA</w:t>
            </w:r>
          </w:p>
        </w:tc>
        <w:tc>
          <w:tcPr>
            <w:tcW w:w="1419" w:type="dxa"/>
            <w:shd w:val="clear" w:color="auto" w:fill="DADADA"/>
          </w:tcPr>
          <w:p w:rsidR="009217AB" w:rsidRDefault="009217AB">
            <w:pPr>
              <w:pStyle w:val="TableParagraph"/>
              <w:spacing w:before="6"/>
              <w:rPr>
                <w:sz w:val="31"/>
              </w:rPr>
            </w:pPr>
          </w:p>
          <w:p w:rsidR="009217AB" w:rsidRDefault="005C576A">
            <w:pPr>
              <w:pStyle w:val="TableParagraph"/>
              <w:ind w:left="484" w:right="48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QNT</w:t>
            </w:r>
          </w:p>
        </w:tc>
        <w:tc>
          <w:tcPr>
            <w:tcW w:w="1419" w:type="dxa"/>
            <w:shd w:val="clear" w:color="auto" w:fill="DADADA"/>
          </w:tcPr>
          <w:p w:rsidR="009217AB" w:rsidRDefault="009217AB">
            <w:pPr>
              <w:pStyle w:val="TableParagraph"/>
              <w:spacing w:before="9"/>
              <w:rPr>
                <w:sz w:val="19"/>
              </w:rPr>
            </w:pPr>
          </w:p>
          <w:p w:rsidR="009217AB" w:rsidRDefault="005C576A">
            <w:pPr>
              <w:pStyle w:val="TableParagraph"/>
              <w:ind w:left="259" w:right="231" w:firstLine="1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PREÇO UNITÁRIO</w:t>
            </w:r>
          </w:p>
        </w:tc>
        <w:tc>
          <w:tcPr>
            <w:tcW w:w="1133" w:type="dxa"/>
            <w:shd w:val="clear" w:color="auto" w:fill="DADADA"/>
          </w:tcPr>
          <w:p w:rsidR="009217AB" w:rsidRDefault="009217AB">
            <w:pPr>
              <w:pStyle w:val="TableParagraph"/>
              <w:spacing w:before="9"/>
              <w:rPr>
                <w:sz w:val="19"/>
              </w:rPr>
            </w:pPr>
          </w:p>
          <w:p w:rsidR="009217AB" w:rsidRDefault="005C576A">
            <w:pPr>
              <w:pStyle w:val="TableParagraph"/>
              <w:ind w:left="273" w:right="233" w:hanging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PREÇO TOTAL</w:t>
            </w:r>
          </w:p>
        </w:tc>
      </w:tr>
      <w:tr w:rsidR="009217AB" w:rsidTr="005C576A">
        <w:trPr>
          <w:trHeight w:val="1794"/>
        </w:trPr>
        <w:tc>
          <w:tcPr>
            <w:tcW w:w="598" w:type="dxa"/>
          </w:tcPr>
          <w:p w:rsidR="009217AB" w:rsidRDefault="009217AB">
            <w:pPr>
              <w:pStyle w:val="TableParagraph"/>
            </w:pPr>
          </w:p>
          <w:p w:rsidR="009217AB" w:rsidRDefault="009217AB">
            <w:pPr>
              <w:pStyle w:val="TableParagraph"/>
            </w:pPr>
          </w:p>
          <w:p w:rsidR="009217AB" w:rsidRDefault="009217AB">
            <w:pPr>
              <w:pStyle w:val="TableParagraph"/>
              <w:spacing w:before="2"/>
            </w:pPr>
          </w:p>
          <w:p w:rsidR="009217AB" w:rsidRDefault="005C576A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</w:rPr>
              <w:t>1</w:t>
            </w:r>
          </w:p>
        </w:tc>
        <w:tc>
          <w:tcPr>
            <w:tcW w:w="3670" w:type="dxa"/>
            <w:vAlign w:val="center"/>
          </w:tcPr>
          <w:p w:rsidR="005C576A" w:rsidRPr="005C576A" w:rsidRDefault="005C576A" w:rsidP="005C576A">
            <w:pPr>
              <w:pStyle w:val="TableParagraph"/>
              <w:spacing w:before="225" w:line="360" w:lineRule="auto"/>
              <w:ind w:left="121" w:right="106"/>
              <w:jc w:val="center"/>
              <w:rPr>
                <w:sz w:val="24"/>
              </w:rPr>
            </w:pPr>
            <w:r w:rsidRPr="005C576A">
              <w:rPr>
                <w:sz w:val="24"/>
              </w:rPr>
              <w:t>Pneu automoveis e utilitarios,aplicacao: convencional (passeio), construcao: radial, largura: 185, serie / perfil: 65, aro: 15, tipo: tubeless, indice carga (capacidade carga): 85 (510 kg), indice velocidade (velocidade maxima): h (210km/h), qualidade: novo, forma fornecimento: unidade</w:t>
            </w:r>
          </w:p>
          <w:p w:rsidR="009217AB" w:rsidRDefault="005C576A" w:rsidP="005C576A">
            <w:pPr>
              <w:pStyle w:val="TableParagraph"/>
              <w:ind w:left="424" w:right="406"/>
              <w:jc w:val="center"/>
            </w:pPr>
            <w:r w:rsidRPr="005C576A">
              <w:rPr>
                <w:sz w:val="24"/>
              </w:rPr>
              <w:t>Código do item:2610.003.0202 (id - 166132)</w:t>
            </w:r>
          </w:p>
        </w:tc>
        <w:tc>
          <w:tcPr>
            <w:tcW w:w="850" w:type="dxa"/>
            <w:vAlign w:val="center"/>
          </w:tcPr>
          <w:p w:rsidR="009217AB" w:rsidRDefault="009217AB" w:rsidP="005C576A">
            <w:pPr>
              <w:pStyle w:val="TableParagraph"/>
              <w:jc w:val="center"/>
            </w:pPr>
          </w:p>
          <w:p w:rsidR="009217AB" w:rsidRDefault="009217AB" w:rsidP="005C576A">
            <w:pPr>
              <w:pStyle w:val="TableParagraph"/>
              <w:jc w:val="center"/>
            </w:pPr>
          </w:p>
          <w:p w:rsidR="009217AB" w:rsidRDefault="009217AB" w:rsidP="005C576A">
            <w:pPr>
              <w:pStyle w:val="TableParagraph"/>
              <w:spacing w:before="2"/>
              <w:jc w:val="center"/>
            </w:pPr>
          </w:p>
          <w:p w:rsidR="009217AB" w:rsidRDefault="009217AB" w:rsidP="005C576A">
            <w:pPr>
              <w:pStyle w:val="TableParagraph"/>
              <w:ind w:left="63" w:right="50"/>
              <w:jc w:val="center"/>
              <w:rPr>
                <w:rFonts w:ascii="Calibri"/>
              </w:rPr>
            </w:pPr>
          </w:p>
        </w:tc>
        <w:tc>
          <w:tcPr>
            <w:tcW w:w="1419" w:type="dxa"/>
            <w:vAlign w:val="center"/>
          </w:tcPr>
          <w:p w:rsidR="009217AB" w:rsidRDefault="009217AB" w:rsidP="005C576A">
            <w:pPr>
              <w:pStyle w:val="TableParagraph"/>
              <w:jc w:val="center"/>
            </w:pPr>
          </w:p>
          <w:p w:rsidR="009217AB" w:rsidRDefault="009217AB" w:rsidP="005C576A">
            <w:pPr>
              <w:pStyle w:val="TableParagraph"/>
              <w:jc w:val="center"/>
            </w:pPr>
          </w:p>
          <w:p w:rsidR="009217AB" w:rsidRDefault="009217AB" w:rsidP="005C576A">
            <w:pPr>
              <w:pStyle w:val="TableParagraph"/>
              <w:spacing w:before="2"/>
              <w:jc w:val="center"/>
            </w:pPr>
          </w:p>
          <w:p w:rsidR="009217AB" w:rsidRDefault="005C576A" w:rsidP="005C576A">
            <w:pPr>
              <w:pStyle w:val="TableParagraph"/>
              <w:ind w:left="484" w:right="48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40</w:t>
            </w:r>
          </w:p>
        </w:tc>
        <w:tc>
          <w:tcPr>
            <w:tcW w:w="1419" w:type="dxa"/>
            <w:vAlign w:val="center"/>
          </w:tcPr>
          <w:p w:rsidR="009217AB" w:rsidRDefault="009217AB" w:rsidP="005C576A">
            <w:pPr>
              <w:pStyle w:val="TableParagraph"/>
              <w:jc w:val="center"/>
            </w:pPr>
          </w:p>
        </w:tc>
        <w:tc>
          <w:tcPr>
            <w:tcW w:w="1133" w:type="dxa"/>
            <w:vAlign w:val="center"/>
          </w:tcPr>
          <w:p w:rsidR="009217AB" w:rsidRDefault="009217AB" w:rsidP="005C576A">
            <w:pPr>
              <w:pStyle w:val="TableParagraph"/>
              <w:jc w:val="center"/>
            </w:pPr>
          </w:p>
        </w:tc>
      </w:tr>
      <w:tr w:rsidR="005C576A" w:rsidTr="005C576A">
        <w:trPr>
          <w:trHeight w:val="1794"/>
        </w:trPr>
        <w:tc>
          <w:tcPr>
            <w:tcW w:w="598" w:type="dxa"/>
            <w:vAlign w:val="center"/>
          </w:tcPr>
          <w:p w:rsidR="005C576A" w:rsidRDefault="005C576A" w:rsidP="005C576A">
            <w:pPr>
              <w:pStyle w:val="TableParagraph"/>
              <w:jc w:val="center"/>
            </w:pPr>
            <w:r>
              <w:t>02</w:t>
            </w:r>
          </w:p>
        </w:tc>
        <w:tc>
          <w:tcPr>
            <w:tcW w:w="3670" w:type="dxa"/>
            <w:vAlign w:val="center"/>
          </w:tcPr>
          <w:p w:rsidR="005C576A" w:rsidRPr="005C576A" w:rsidRDefault="005C576A" w:rsidP="005C576A">
            <w:pPr>
              <w:pStyle w:val="TableParagraph"/>
              <w:spacing w:before="225" w:line="360" w:lineRule="auto"/>
              <w:ind w:left="121" w:right="106"/>
              <w:jc w:val="center"/>
              <w:rPr>
                <w:sz w:val="24"/>
              </w:rPr>
            </w:pPr>
            <w:r w:rsidRPr="005C576A">
              <w:rPr>
                <w:sz w:val="24"/>
              </w:rPr>
              <w:t>Pneu automoveis e utilitarios,aplicacao: convencional (passeio), construcao: radial, largura: 195, serie / perfil: 55, aro: 15, tipo: tubeless (sem camara), indice carga (capacidade carga): 85 (515 kg), indice velocidade (velocidade maxima): h (210km/h), qualidade: novo</w:t>
            </w:r>
          </w:p>
          <w:p w:rsidR="005C576A" w:rsidRDefault="005C576A" w:rsidP="005C576A">
            <w:pPr>
              <w:pStyle w:val="TableParagraph"/>
              <w:spacing w:before="225" w:line="360" w:lineRule="auto"/>
              <w:ind w:left="121" w:right="106"/>
              <w:jc w:val="center"/>
              <w:rPr>
                <w:sz w:val="24"/>
              </w:rPr>
            </w:pPr>
            <w:r w:rsidRPr="005C576A">
              <w:rPr>
                <w:sz w:val="24"/>
              </w:rPr>
              <w:t>Código do item:2610.003.0015 (id - 12515)</w:t>
            </w:r>
          </w:p>
        </w:tc>
        <w:tc>
          <w:tcPr>
            <w:tcW w:w="850" w:type="dxa"/>
            <w:vAlign w:val="center"/>
          </w:tcPr>
          <w:p w:rsidR="005C576A" w:rsidRDefault="005C576A" w:rsidP="005C576A">
            <w:pPr>
              <w:pStyle w:val="TableParagraph"/>
              <w:jc w:val="center"/>
            </w:pPr>
            <w:bookmarkStart w:id="0" w:name="_GoBack"/>
            <w:bookmarkEnd w:id="0"/>
          </w:p>
        </w:tc>
        <w:tc>
          <w:tcPr>
            <w:tcW w:w="1419" w:type="dxa"/>
            <w:vAlign w:val="center"/>
          </w:tcPr>
          <w:p w:rsidR="005C576A" w:rsidRDefault="005C576A" w:rsidP="005C576A">
            <w:pPr>
              <w:pStyle w:val="TableParagraph"/>
              <w:jc w:val="center"/>
            </w:pPr>
          </w:p>
        </w:tc>
        <w:tc>
          <w:tcPr>
            <w:tcW w:w="1419" w:type="dxa"/>
            <w:vAlign w:val="center"/>
          </w:tcPr>
          <w:p w:rsidR="005C576A" w:rsidRDefault="005C576A" w:rsidP="005C576A">
            <w:pPr>
              <w:pStyle w:val="TableParagraph"/>
              <w:jc w:val="center"/>
            </w:pPr>
          </w:p>
        </w:tc>
        <w:tc>
          <w:tcPr>
            <w:tcW w:w="1133" w:type="dxa"/>
            <w:vAlign w:val="center"/>
          </w:tcPr>
          <w:p w:rsidR="005C576A" w:rsidRDefault="005C576A" w:rsidP="005C576A">
            <w:pPr>
              <w:pStyle w:val="TableParagraph"/>
              <w:jc w:val="center"/>
            </w:pPr>
          </w:p>
        </w:tc>
      </w:tr>
    </w:tbl>
    <w:p w:rsidR="009217AB" w:rsidRDefault="009217AB">
      <w:pPr>
        <w:pStyle w:val="Corpodetexto"/>
        <w:spacing w:before="4"/>
        <w:rPr>
          <w:sz w:val="35"/>
        </w:rPr>
      </w:pPr>
    </w:p>
    <w:p w:rsidR="009217AB" w:rsidRDefault="005C576A">
      <w:pPr>
        <w:pStyle w:val="Corpodetexto"/>
        <w:tabs>
          <w:tab w:val="left" w:pos="8248"/>
        </w:tabs>
        <w:ind w:left="304"/>
      </w:pPr>
      <w:r>
        <w:t>Valor total da proposta por</w:t>
      </w:r>
      <w:r>
        <w:rPr>
          <w:spacing w:val="-9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17AB" w:rsidRDefault="009217AB">
      <w:pPr>
        <w:pStyle w:val="Corpodetexto"/>
        <w:rPr>
          <w:sz w:val="20"/>
        </w:rPr>
      </w:pPr>
    </w:p>
    <w:p w:rsidR="009217AB" w:rsidRDefault="009217AB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5030"/>
      </w:tblGrid>
      <w:tr w:rsidR="009217AB">
        <w:trPr>
          <w:trHeight w:val="825"/>
        </w:trPr>
        <w:tc>
          <w:tcPr>
            <w:tcW w:w="3974" w:type="dxa"/>
          </w:tcPr>
          <w:p w:rsidR="009217AB" w:rsidRDefault="005C576A">
            <w:pPr>
              <w:pStyle w:val="TableParagraph"/>
              <w:spacing w:line="269" w:lineRule="exact"/>
              <w:ind w:left="479"/>
              <w:rPr>
                <w:sz w:val="24"/>
              </w:rPr>
            </w:pPr>
            <w:r>
              <w:rPr>
                <w:sz w:val="24"/>
              </w:rPr>
              <w:lastRenderedPageBreak/>
              <w:t>Validade da Proposta: (prazo não</w:t>
            </w:r>
          </w:p>
          <w:p w:rsidR="009217AB" w:rsidRDefault="005C576A">
            <w:pPr>
              <w:pStyle w:val="TableParagraph"/>
              <w:spacing w:before="139"/>
              <w:ind w:left="479"/>
              <w:rPr>
                <w:sz w:val="24"/>
              </w:rPr>
            </w:pPr>
            <w:r>
              <w:rPr>
                <w:sz w:val="24"/>
              </w:rPr>
              <w:t>inferior a 60 dias)</w:t>
            </w:r>
          </w:p>
        </w:tc>
        <w:tc>
          <w:tcPr>
            <w:tcW w:w="5030" w:type="dxa"/>
          </w:tcPr>
          <w:p w:rsidR="009217AB" w:rsidRDefault="005C576A">
            <w:pPr>
              <w:pStyle w:val="TableParagraph"/>
              <w:spacing w:line="269" w:lineRule="exact"/>
              <w:ind w:left="482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9217AB" w:rsidRDefault="005C576A">
            <w:pPr>
              <w:pStyle w:val="TableParagraph"/>
              <w:spacing w:before="139"/>
              <w:ind w:left="482"/>
              <w:rPr>
                <w:sz w:val="24"/>
              </w:rPr>
            </w:pPr>
            <w:r>
              <w:rPr>
                <w:sz w:val="24"/>
              </w:rPr>
              <w:t>(Prazo não superior a 60 dias)</w:t>
            </w:r>
          </w:p>
        </w:tc>
      </w:tr>
      <w:tr w:rsidR="009217AB">
        <w:trPr>
          <w:trHeight w:val="409"/>
        </w:trPr>
        <w:tc>
          <w:tcPr>
            <w:tcW w:w="3974" w:type="dxa"/>
          </w:tcPr>
          <w:p w:rsidR="009217AB" w:rsidRDefault="005C576A">
            <w:pPr>
              <w:pStyle w:val="TableParagraph"/>
              <w:tabs>
                <w:tab w:val="left" w:pos="1804"/>
                <w:tab w:val="left" w:pos="2471"/>
                <w:tab w:val="left" w:pos="3198"/>
              </w:tabs>
              <w:spacing w:line="269" w:lineRule="exact"/>
              <w:ind w:left="120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30" w:type="dxa"/>
          </w:tcPr>
          <w:p w:rsidR="009217AB" w:rsidRDefault="005C576A">
            <w:pPr>
              <w:pStyle w:val="TableParagraph"/>
              <w:tabs>
                <w:tab w:val="left" w:pos="2332"/>
                <w:tab w:val="left" w:pos="3000"/>
                <w:tab w:val="left" w:pos="3727"/>
              </w:tabs>
              <w:spacing w:line="269" w:lineRule="exact"/>
              <w:ind w:left="173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217AB" w:rsidRDefault="009217AB">
      <w:pPr>
        <w:pStyle w:val="Corpodetexto"/>
        <w:spacing w:before="6"/>
        <w:rPr>
          <w:sz w:val="27"/>
        </w:rPr>
      </w:pPr>
    </w:p>
    <w:p w:rsidR="009217AB" w:rsidRDefault="005C576A">
      <w:pPr>
        <w:pStyle w:val="Corpodetexto"/>
        <w:spacing w:before="90"/>
        <w:ind w:left="304"/>
      </w:pPr>
      <w:r>
        <w:t>Dados para pagamento:</w:t>
      </w:r>
    </w:p>
    <w:p w:rsidR="009217AB" w:rsidRDefault="009217AB">
      <w:pPr>
        <w:pStyle w:val="Corpodetexto"/>
        <w:spacing w:before="2"/>
        <w:rPr>
          <w:sz w:val="12"/>
        </w:rPr>
      </w:pP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9217AB">
        <w:trPr>
          <w:trHeight w:val="409"/>
        </w:trPr>
        <w:tc>
          <w:tcPr>
            <w:tcW w:w="2693" w:type="dxa"/>
          </w:tcPr>
          <w:p w:rsidR="009217AB" w:rsidRDefault="005C576A">
            <w:pPr>
              <w:pStyle w:val="TableParagraph"/>
              <w:spacing w:line="269" w:lineRule="exact"/>
              <w:ind w:left="479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9217AB" w:rsidRDefault="005C576A">
            <w:pPr>
              <w:pStyle w:val="TableParagraph"/>
              <w:spacing w:line="269" w:lineRule="exact"/>
              <w:ind w:left="479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9217AB" w:rsidRDefault="005C576A">
            <w:pPr>
              <w:pStyle w:val="TableParagraph"/>
              <w:spacing w:line="269" w:lineRule="exact"/>
              <w:ind w:left="479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217AB" w:rsidRDefault="009217AB">
      <w:pPr>
        <w:pStyle w:val="Corpodetexto"/>
        <w:spacing w:before="4"/>
        <w:rPr>
          <w:sz w:val="35"/>
        </w:rPr>
      </w:pPr>
    </w:p>
    <w:p w:rsidR="009217AB" w:rsidRDefault="005C576A">
      <w:pPr>
        <w:pStyle w:val="Corpodetexto"/>
        <w:ind w:left="304"/>
      </w:pPr>
      <w:r>
        <w:t>Carimbo Padronizado de CNPJ:</w:t>
      </w:r>
    </w:p>
    <w:p w:rsidR="009217AB" w:rsidRDefault="009217AB">
      <w:pPr>
        <w:pStyle w:val="Corpodetexto"/>
        <w:rPr>
          <w:sz w:val="26"/>
        </w:rPr>
      </w:pPr>
    </w:p>
    <w:p w:rsidR="009217AB" w:rsidRDefault="009217AB">
      <w:pPr>
        <w:pStyle w:val="Corpodetexto"/>
        <w:rPr>
          <w:sz w:val="26"/>
        </w:rPr>
      </w:pPr>
    </w:p>
    <w:p w:rsidR="009217AB" w:rsidRDefault="009217AB">
      <w:pPr>
        <w:pStyle w:val="Corpodetexto"/>
        <w:spacing w:before="1"/>
        <w:rPr>
          <w:sz w:val="32"/>
        </w:rPr>
      </w:pPr>
    </w:p>
    <w:p w:rsidR="009217AB" w:rsidRDefault="005C576A">
      <w:pPr>
        <w:pStyle w:val="Corpodetexto"/>
        <w:tabs>
          <w:tab w:val="left" w:pos="3854"/>
          <w:tab w:val="left" w:pos="4514"/>
          <w:tab w:val="left" w:pos="6239"/>
          <w:tab w:val="left" w:pos="7605"/>
        </w:tabs>
        <w:spacing w:before="1"/>
        <w:ind w:left="304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217AB" w:rsidRDefault="009217AB">
      <w:pPr>
        <w:pStyle w:val="Corpodetexto"/>
        <w:rPr>
          <w:sz w:val="26"/>
        </w:rPr>
      </w:pPr>
    </w:p>
    <w:p w:rsidR="009217AB" w:rsidRDefault="009217AB">
      <w:pPr>
        <w:pStyle w:val="Corpodetexto"/>
        <w:rPr>
          <w:sz w:val="22"/>
        </w:rPr>
      </w:pPr>
    </w:p>
    <w:p w:rsidR="005C576A" w:rsidRDefault="005C576A">
      <w:pPr>
        <w:pStyle w:val="Corpodetexto"/>
        <w:tabs>
          <w:tab w:val="left" w:pos="3076"/>
          <w:tab w:val="left" w:pos="8073"/>
          <w:tab w:val="left" w:pos="8109"/>
          <w:tab w:val="left" w:pos="8167"/>
        </w:tabs>
        <w:spacing w:line="360" w:lineRule="auto"/>
        <w:ind w:left="304" w:right="1248"/>
      </w:pPr>
      <w:r>
        <w:t>Assinatura do Responsável</w:t>
      </w:r>
      <w:r>
        <w:rPr>
          <w:spacing w:val="-7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 Observações: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Vendedor</w:t>
      </w:r>
      <w:r>
        <w:rPr>
          <w:spacing w:val="-2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. </w:t>
      </w:r>
    </w:p>
    <w:p w:rsidR="009217AB" w:rsidRDefault="005C576A">
      <w:pPr>
        <w:pStyle w:val="Corpodetexto"/>
        <w:tabs>
          <w:tab w:val="left" w:pos="3076"/>
          <w:tab w:val="left" w:pos="8073"/>
          <w:tab w:val="left" w:pos="8109"/>
          <w:tab w:val="left" w:pos="8167"/>
        </w:tabs>
        <w:spacing w:line="360" w:lineRule="auto"/>
        <w:ind w:left="304" w:right="1248"/>
      </w:pP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Contato:(_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217AB" w:rsidRDefault="009217AB">
      <w:pPr>
        <w:pStyle w:val="Corpodetexto"/>
        <w:rPr>
          <w:sz w:val="20"/>
        </w:rPr>
      </w:pPr>
    </w:p>
    <w:p w:rsidR="009217AB" w:rsidRDefault="009217AB">
      <w:pPr>
        <w:pStyle w:val="Corpodetexto"/>
        <w:rPr>
          <w:sz w:val="20"/>
        </w:rPr>
      </w:pPr>
    </w:p>
    <w:p w:rsidR="009217AB" w:rsidRDefault="005C576A">
      <w:pPr>
        <w:pStyle w:val="Corpodetexto"/>
        <w:spacing w:before="1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127635</wp:posOffset>
                </wp:positionV>
                <wp:extent cx="561911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115" cy="762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7.8pt;margin-top:10.05pt;width:442.4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" fillcolor="#dadada" stroked="f">
                <w10:wrap type="topAndBottom" anchorx="page"/>
              </v:rect>
            </w:pict>
          </mc:Fallback>
        </mc:AlternateContent>
      </w:r>
    </w:p>
    <w:p w:rsidR="009217AB" w:rsidRDefault="005C576A">
      <w:pPr>
        <w:spacing w:line="258" w:lineRule="exact"/>
        <w:ind w:left="2020"/>
        <w:rPr>
          <w:sz w:val="24"/>
        </w:rPr>
      </w:pPr>
      <w:r>
        <w:rPr>
          <w:sz w:val="18"/>
        </w:rPr>
        <w:t>Governo do Estado do Rio de Janeiro * Secretaria de Estado da Polícia Militar</w:t>
      </w:r>
      <w:r>
        <w:rPr>
          <w:sz w:val="24"/>
        </w:rPr>
        <w:t xml:space="preserve">21 | </w:t>
      </w:r>
      <w:r>
        <w:rPr>
          <w:color w:val="808080"/>
          <w:sz w:val="24"/>
        </w:rPr>
        <w:t>P á g i n a</w:t>
      </w:r>
    </w:p>
    <w:sectPr w:rsidR="009217AB" w:rsidSect="005C576A">
      <w:type w:val="continuous"/>
      <w:pgSz w:w="11910" w:h="16840"/>
      <w:pgMar w:top="1580" w:right="72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AB"/>
    <w:rsid w:val="005C576A"/>
    <w:rsid w:val="009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C576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C576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TERMO_DE_REFERENCIA_PE___EQUINOS.pdf</vt:lpstr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TERMO_DE_REFERENCIA_PE___EQUINOS.pdf</dc:title>
  <dc:creator>DLP-PESQUISA-08</dc:creator>
  <cp:lastModifiedBy>DLP-PESQUISA-08</cp:lastModifiedBy>
  <cp:revision>2</cp:revision>
  <dcterms:created xsi:type="dcterms:W3CDTF">2021-01-25T14:01:00Z</dcterms:created>
  <dcterms:modified xsi:type="dcterms:W3CDTF">2021-01-25T14:01:00Z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LastSaved">
    <vt:filetime>2021-01-19T00:00:00Z</vt:filetime>
  </property>
</Properties>
</file>